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378</w:t>
      </w:r>
    </w:p>
    <w:p>
      <w:r>
        <w:t>Bundesgericht (BGE), 2014-08-15, DE</w:t>
      </w:r>
    </w:p>
    <w:p>
      <w:r>
        <w:rPr>
          <w:b/>
        </w:rPr>
        <w:t xml:space="preserve">Quelle: </w:t>
      </w:r>
      <w:r>
        <w:t>https://mcp.opencaselaw.ch/entscheid/bge_140 II 378</w:t>
      </w:r>
    </w:p>
    <w:p>
      <w:r>
        <w:t>FR: ATF 140 II 378</w:t>
      </w:r>
    </w:p>
    <w:p>
      <w:r>
        <w:t>IT: DTF 140 II 378</w:t>
      </w:r>
    </w:p>
    <w:p>
      <w:pPr>
        <w:pStyle w:val="Heading2"/>
      </w:pPr>
      <w:r>
        <w:t>Regeste</w:t>
      </w:r>
    </w:p>
    <w:p>
      <w:r>
        <w:t>Regeste Beschränkung des Zweitwohnungsbaus (Art. 75b und 197 Ziff. 9 BV; Zweitwohnungsverordnung); Beschwerdelegitimation der Gemeinde (Art. 89 Abs. 1 BGG). Die Gemeinde ist zur Beschwerde gegen einen Entscheid befugt, der sie verpflichtet, eine Baubewilligung zu erteilen, die ihres Erachtens nach Art. 197 Ziff. 9 Abs. 2 BV nichtig wäre (E. 1.2). Nach Ablauf der Übergangsfrist gemäss Art. 197 Ziff. 9 Abs. 1 BV bestehen aus kompetenzrechtlicher Sicht keine Bedenken mehr gegen die Zweitwohnungsverordnung vom 22. August 2012. Diese ist bis zum Inkrafttreten des Zweitwohnungsgesetzes anzuwenden, soweit sie den Anwendungsbereich von Art. 75b BV und damit auch der Nichtigkeitsfolge gemäss Art. 197 Ziff. 9 Abs. 2 BV in zulässiger Weise präzisiert (E. 4.1). Nicht in der Verordnung geregelt ist der Ausbau von am 11. März 2012 bereits bestehenden Zweitwohnungen, die weiterhin als Zweitwohnungen genutzt werden sollen (E. 4.2). Der vorliegend streitige Umbau von Neben- zu Hauptnutzflächen kann bis zur Klärung durch den Gesetzgeber nicht bewilligt werden; eine entsprechende Bewilligung wäre nach Art. 197 Ziff. 9 Abs. 2 BV nichtig (E. 5).</w:t>
      </w:r>
    </w:p>
    <w:p>
      <w:pPr>
        <w:pStyle w:val="Heading2"/>
      </w:pPr>
      <w:r>
        <w:t>Erwägungen</w:t>
      </w:r>
    </w:p>
    <w:p>
      <w:r>
        <w:rPr>
          <w:b/>
        </w:rPr>
        <w:t>E. 1</w:t>
      </w:r>
    </w:p>
    <w:p>
      <w:r>
        <w:t>(...)</w:t>
      </w:r>
    </w:p>
    <w:p>
      <w:r>
        <w:rPr>
          <w:b/>
        </w:rPr>
        <w:t>E. 1.2</w:t>
      </w:r>
    </w:p>
    <w:p>
      <w:r>
        <w:t>Die Gemeinde ist durch den angefochtenen Entscheid als Baubewilligungsbehörde und damit als Trägerin hoheitlicher Gewalt berührt; sie ist daher befugt, mit Beschwerde eine Verletzung ihrer Gemeindeautonomie geltend zu machen ( Art. 89 Abs. 2 lit. c BGG ). Ob ihr im fraglichen Bereich Autonomie zusteht, ist eine Frage der Begründetheit der Beschwerde (vgl. nicht publ. E. 2). Die Gemeinde ist aber auch legitimiert, gestützt auf Art. 89 Abs. 1 BGG Beschwerde zu erheben. Denn Art. 197 Ziff. 9 Abs. 2 BV sieht vor, dass Baubewilligungen für Zweitwohnungen, die zwischen dem 1. Januar des auf die Annahme von Artikel 75b BV folgenden Jahres und dem Inkrafttreten der Ausführungsbestimmungen erteilt werden, nicht nur anfechtbar, sondern sogar nichtig sind. Es wäre der Autorität der Gemeinde als Bau- und Planungsbehörde abträglich, wenn sie gezwungen wäre, Verfügungen zu erlassen, die ihrer Ansicht nach nichtig sind, d.h. denen jede Verbindlichkeit und Rechtswirksamkeit abgeht und deren Nichtigkeit jederzeit und vor sämtlichen staatlichen Instanzen geltend gemacht werden könnte. Sie ist daher befugt, geltend zu machen, dass die streitige Baubewilligung wegen Verletzung von Art. 75b BV i.V.m. Art. 197 Ziff. 9 Abs. 2 BV und Art. 8 Abs. 2 der Verordnung vom 22. August 2012 über Zweitwohnungen (SR 702; im Folgenden: ZweitwohnungsV) nichtig wäre. (...)</w:t>
      </w:r>
    </w:p>
    <w:p>
      <w:r>
        <w:rPr>
          <w:b/>
        </w:rPr>
        <w:t>E. 4</w:t>
      </w:r>
    </w:p>
    <w:p>
      <w:r>
        <w:t>Art. 75b Abs. 1 BV bestimmt, dass der Anteil von Zweitwohnungen am Gesamtbestand der Wohneinheiten und der für Wohnzwecke genutzten Bruttogeschossfläche einer Gemeinde auf höchstens BGE 140 II 378 S. 381 20 Prozent beschränkt ist. Baubewilligungen für Zweitwohnungen, die zwischen dem 1. Januar des auf die Annahme von Art. 75b BV folgenden Jahres und dem Inkrafttreten der Ausführungsbestimmungen erteilt werden, sind nichtig ( Art. 197 Ziff. 9 Abs. 2 BV ).</w:t>
      </w:r>
    </w:p>
    <w:p>
      <w:r>
        <w:rPr>
          <w:b/>
        </w:rPr>
        <w:t>E. 4.1</w:t>
      </w:r>
    </w:p>
    <w:p>
      <w:r>
        <w:t>Der Bundesrat hat am 22. August 2012 die ZweitwohnungsV erlassen. Im Erläuternden Bericht des ARE vom 17. August 2012 wird ausgeführt, dass es aufgrund der sehr einscheidenden Nichtigkeitsfolge ein legitimes Bedürfnis gebe, für die Zeit bis zum Erlass des Ausführungsgesetzes einheitlich durch den Bund zu klären, welche Fälle von Baubewilligungen überhaupt von Art. 75b BV und damit auch von der Nichtigkeitsfolge gemäss Art. 197 Ziff. 9 Abs. 2 BV erfasst seien und welche nicht. Der Bund stützte sich hierfür auf seine Befugnis zum "Vollzug der Gesetzgebung" nach Art. 182 Abs. 2 BV . In der Literatur ist umstritten, ob der Bundesrat schon vor Ablauf der zweijährigen Übergangsfrist gemäss Art. 197 Ziff. 9 Abs. 1 BV zur Vollziehung der neuen Verfassungsbestimmung befugt war (contra ALAIN GRIFFEL, Die Umsetzung der Zweitwohnungsinitiative, eine Zwischenbilanz, ZBl 115/2014 S. 69 ff. mit Hinweisen; pro BERNHARD WALDMANN, Die Zweitwohnungsverordnung, Jusletter 10. Dezember 2012 N. 5 f; derselbe , Zweitwohnungen - vom Umgang mit einer sperrigen Verfassungsnorm, in: Schweizerische Baurechtstagung 2013, S. 123 ff., 129). Inzwischen ist die in Art. 197 Ziff. 9 Abs. 1 BV statuierte Übergangsfrist abgelaufen, ohne dass ein Ausführungsgesetz in Kraft getreten ist. Der Bundesrat ist nunmehr befugt, die nötigen Ausführungsbestimmungen über Erstellung, Verkauf und Registrierung im Grundbuch durch Verordnung zu regeln. Am 19. Februar 2014 hat der Bundesrat den Entwurf eines Zweitwohnungsgesetzes (E-ZWG) und die dazugehörige Botschaft beschlossen (Botschaft vom 19. Februar 2014 zum Bundesgesetz über Zweitwohnungen, BBl 2014 2287 ff.). Bis zum Inkrafttreten des Gesetzes soll die geltende Zweitwohnungsverordnung vom 22. August 2012 in Kraft bleiben (Botschaft, S. 2290 Ziff. 1.1; Art. 9 Abs. 2 ZweitwohnungsV). Verfügt der Bundesrat seit dem 12. März 2014 über eine verfassungsrechtliche Ermächtigung zum Erlass von Ausführungsbestimmungen in Form einer Verordnung, so bestehen aus kompetenzrechtlicher Sicht keine Bedenken mehr gegen die ZweitwohnungsV. Es wäre überspitzt formalistisch, vom Bundesrat zu verlangen, die ZweitwohnungsV ein zweites Mal zu erlassen, diesmal gestützt auf BGE 140 II 378 S. 382 Art. 197 Ziff. 9 Abs. 1 BV . Die geltende Verordnung ist daher bis zum Inkrafttreten des Zweitwohnungsgesetzes anzuwenden, sofern sie den Anwendungsbereich von Art. 75b BV in zulässiger Weise präzisiert.</w:t>
      </w:r>
    </w:p>
    <w:p>
      <w:r>
        <w:rPr>
          <w:b/>
        </w:rPr>
        <w:t>E. 4.2</w:t>
      </w:r>
    </w:p>
    <w:p>
      <w:r>
        <w:t>Art. 3 ZweitwohnungsV trägt die Überschrift "Bestehende Wohnungen und Hotels". Diese Bestimmung regelt jedoch lediglich die Umnutzung von am 11. März 2012 bereits bestehenden oder rechtskräftig bewilligten Wohnungen, von Erst- zu Zweitwohnungen und umgekehrt, in der Grenze der vorbestandenen, anrechenbaren Bruttogeschossfläche. Nicht geregelt ist der vorliegend streitige Fall des Um- bzw. Ausbaus einer Zweitwohnung, die weiterhin als Zweitwohnung genutzt werden soll. Insoweit bleibt es daher bei der Übergangsregelung gemäss Art. 197 Ziff. 9 Abs. 2 BV .</w:t>
      </w:r>
    </w:p>
    <w:p>
      <w:r>
        <w:rPr>
          <w:b/>
        </w:rPr>
        <w:t>E. 5</w:t>
      </w:r>
    </w:p>
    <w:p>
      <w:r>
        <w:t>Art. 197 Ziff. 9 Abs. 2 BV enthält ein vorsorgliches Baubewilligungsverbot, das im Ergebnis (wenn auch nicht in der Rechtsfolge, vgl. Urteil 1C_88/2014 E. 4.2) einer Planungszone gleichkommt. Es ist weit auszulegen, um eine Präjudizierung der künftigen Ausführungsgesetzgebung zu vermeiden ( BGE 139 II 243 E. 10.5 S. 257). Darunter fallen alle baubewilligungspflichtigen Tatbestände, deren Vereinbarkeit mit Art. 75b Abs. 1 BV zweifelhaft erscheint und daher vom Gesetzgeber geregelt werden müssen.</w:t>
      </w:r>
    </w:p>
    <w:p>
      <w:r>
        <w:rPr>
          <w:b/>
        </w:rPr>
        <w:t>E. 5.1</w:t>
      </w:r>
    </w:p>
    <w:p>
      <w:r>
        <w:t>Art. 75b BV beschränkt nicht nur den Zweitwohnungsanteil am Gesamtbestand der Wohneinheiten, sondern auch an der für Wohnzwecke genutzten Bruttogeschossfläche einer Gemeinde. Wie das ARE zutreffend darlegt, ist davon auszugehen, dass dieser Begriff künftig bundeseinheitlich geregelt wird und sich nicht zwangsläufig mit der nach dem kantonalen bzw. kommunalen Recht anrechenbaren Bruttogeschossfläche decken wird.</w:t>
      </w:r>
    </w:p>
    <w:p>
      <w:r>
        <w:rPr>
          <w:b/>
        </w:rPr>
        <w:t>E. 5.2</w:t>
      </w:r>
    </w:p>
    <w:p>
      <w:r>
        <w:t>Die Auslegung des ARE, wonach auf die Hauptnutzungsflächen gemäss SIA-Norm 416 abzustellen sei, d.h. auf die Flächen eines Geschosses, die der Wohnnutzung im engeren Sinne dienen, ist eine mögliche, mit Art. 75b BV vereinbare Auslegung, die auch der Botschaft des Bundesrats vom 19. Februar 2014 zugrunde liegt (BBl 2014 S. 2307 zu Art. 9 und S. 2310 zu Art. 12 E-ZWG). Nach dieser Definition stellt die Umwandlung von Nebennutzflächen in Hauptnutzflächen eine Erweiterung einer bestehenden Zweitwohnung dar. Ob und wenn ja inwieweit das künftige Gesetz eine derartige Erweiterung zulassen wird, ist noch ungewiss. Im Vernehmlassungsverfahren schlug der Bundesrat zwei Varianten vor: Nach der einen sollten altrechtliche Wohnungen weitgehend frei umgenutzt und BGE 140 II 378 S. 383 auch geringfügig erweitert werden dürfen; nach der anderen durften sie nur im Rahmen der bestehenden Hauptnutzfläche geändert werden. Der vom Bundesrat beschlossene Gesetzesentwurf sieht nunmehr in Art. 12 Abs. 3 vor, dass die Erweiterung der Hauptnutzflächen einer altrechtlichen Wohnung nur zulässig ist, wenn diese als Erstwohnung oder als touristisch bewirtschaftete Wohnung deklariert wird (Botschaft, S. 2292 f. Ziff. 1.3 und S. 2310 zu Art. 12 E-ZWG).</w:t>
      </w:r>
    </w:p>
    <w:p>
      <w:r>
        <w:rPr>
          <w:b/>
        </w:rPr>
        <w:t>E. 5.3</w:t>
      </w:r>
    </w:p>
    <w:p>
      <w:r>
        <w:t>Der Umbau des Estrichs (als Nebennutzfläche gemäss SIA-Norm 416) zu einem Studio vergrössert die Hauptnutzfläche. Die vom Beschwerdegegner geltend gemachte frühere Nutzung des Dachgeschosses als Aufenthaltsraum wurde nie bewilligt. Wie bereits das Verwaltungsgericht festgehalten hat, erfolgte die Bewilligung des Dachfensters 1966 ausdrücklich zur besseren Belichtung des Estrichs. Es liegen keinerlei Anhaltspunkte dafür vor, dass eine Wohnnutzung des Dachgeschosses in der Folgezeit - ausdrücklich oder stillschweigend - von der Gemeinde bewilligt oder geduldet worden wäre. Es handelt sich somit um einen baubewilligungspflichtigen Tatbestand, dessen Vereinbarkeit mit Art. 75b Abs. 1 BV zweifelhaft erscheint und bis zur Klärung durch den Gesetzgeber nicht bewilligt werden kann; eine entsprechende Bewilligung wäre gemäss Art. 197 Ziff. 9 Abs. 2 BV nichtig.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